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5F3742FF" w:rsidR="001B1FAA" w:rsidRDefault="00BC30B4"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THE INDOOR &amp; OUTDOOR ENVIRONMENT</w:t>
      </w:r>
    </w:p>
    <w:p w14:paraId="4B0232CE" w14:textId="66621118" w:rsidR="001B1FAA" w:rsidRPr="001B1FAA" w:rsidRDefault="00777807"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w:t>
      </w:r>
      <w:r w:rsidR="00BC30B4">
        <w:rPr>
          <w:rFonts w:asciiTheme="majorHAnsi" w:eastAsia="Times New Roman" w:hAnsiTheme="majorHAnsi" w:cstheme="majorHAnsi"/>
          <w:color w:val="4472C4" w:themeColor="accent1"/>
          <w:sz w:val="24"/>
          <w:szCs w:val="24"/>
          <w:lang w:eastAsia="en-AU"/>
        </w:rPr>
        <w:t xml:space="preserve"> 3 – Physical Environment</w:t>
      </w:r>
    </w:p>
    <w:p w14:paraId="4B8B3B08" w14:textId="5F56A046"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BC30B4">
        <w:rPr>
          <w:rFonts w:asciiTheme="majorHAnsi" w:eastAsia="Times New Roman" w:hAnsiTheme="majorHAnsi" w:cstheme="majorHAnsi"/>
          <w:color w:val="4472C4" w:themeColor="accent1"/>
          <w:sz w:val="24"/>
          <w:szCs w:val="24"/>
          <w:lang w:eastAsia="en-AU"/>
        </w:rPr>
        <w:t>ations 2011: Regulation 104-114</w:t>
      </w:r>
    </w:p>
    <w:p w14:paraId="1DAFC96A" w14:textId="060B1114" w:rsidR="00BC30B4" w:rsidRDefault="003D4E11" w:rsidP="00BC3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BC30B4">
        <w:rPr>
          <w:rFonts w:asciiTheme="majorHAnsi" w:eastAsia="Times New Roman" w:hAnsiTheme="majorHAnsi" w:cstheme="majorHAnsi"/>
          <w:color w:val="4472C4" w:themeColor="accent1"/>
          <w:sz w:val="24"/>
          <w:szCs w:val="24"/>
          <w:lang w:eastAsia="en-AU"/>
        </w:rPr>
        <w:t>(3)</w:t>
      </w:r>
      <w:r w:rsidR="007441E5">
        <w:rPr>
          <w:rFonts w:asciiTheme="majorHAnsi" w:eastAsia="Times New Roman" w:hAnsiTheme="majorHAnsi" w:cstheme="majorHAnsi"/>
          <w:color w:val="4472C4" w:themeColor="accent1"/>
          <w:sz w:val="24"/>
          <w:szCs w:val="24"/>
          <w:lang w:eastAsia="en-AU"/>
        </w:rPr>
        <w:t xml:space="preserve"> </w:t>
      </w:r>
      <w:r w:rsidR="00BC30B4">
        <w:rPr>
          <w:rFonts w:asciiTheme="majorHAnsi" w:eastAsia="Times New Roman" w:hAnsiTheme="majorHAnsi" w:cstheme="majorHAnsi"/>
          <w:color w:val="4472C4" w:themeColor="accent1"/>
          <w:sz w:val="24"/>
          <w:szCs w:val="24"/>
          <w:lang w:eastAsia="en-AU"/>
        </w:rPr>
        <w:t>ACECQA</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1A900C0" w14:textId="644A00BC" w:rsidR="00A561AA" w:rsidRPr="00A561AA" w:rsidRDefault="007441E5"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physical environment can contribute to children’s wellbeing, happiness, creativity and developing independence. It can contribute to and express the quality of children’s learning and experiences. The choices made in an education and care service about resources, materials, spaces, layout, air and light quality and access to a range of experiences in the indoor and outdoor, have a direct impact on the quality of learning opportunities available to children.</w:t>
      </w: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27A4BC98" w14:textId="445584CB" w:rsidR="005A54A3" w:rsidRDefault="007441E5" w:rsidP="00744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education and care service will ensure the environment is safe, clean and well maintained.</w:t>
      </w:r>
    </w:p>
    <w:p w14:paraId="14B379D4" w14:textId="7ADF55DD" w:rsidR="007441E5" w:rsidRPr="007441E5" w:rsidRDefault="007441E5" w:rsidP="00744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Children’s awareness of the environment and sustainable practise will be supported through daily practises, resources and interactions. The physical environment both in and outdoors will support children’s learning, safety, levels of engagement and access to positive experiences and inclusive relationships.</w:t>
      </w:r>
    </w:p>
    <w:p w14:paraId="64EDFAFD" w14:textId="77777777" w:rsidR="007441E5" w:rsidRDefault="007441E5"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8C2B7EB" w14:textId="77777777" w:rsidR="007441E5" w:rsidRDefault="007441E5"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E436403" w14:textId="7AB58A25" w:rsidR="00F145A5" w:rsidRPr="00237639" w:rsidRDefault="001B1FAA"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638E43B6" w14:textId="77777777" w:rsidR="00A45A1E" w:rsidRDefault="00A45A1E"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3C06917A" w14:textId="48AE58B7" w:rsidR="001D6EF2" w:rsidRDefault="00A45A1E"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Approved Provider will ensure that:</w:t>
      </w:r>
    </w:p>
    <w:p w14:paraId="159D2558" w14:textId="77777777" w:rsidR="00A45A1E" w:rsidRPr="00A45A1E" w:rsidRDefault="00A45A1E"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10D4E044" w14:textId="506536DF" w:rsidR="00BD0EB6" w:rsidRDefault="006F7C9F"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Fencing and barriers which enclose outdoor areas used by children in the education and care service are maintained to ensure they are of a height and design that prevents children of preschool age from going through, over or under the structure Considerations about minimising access to the education and care service by unauthorised people and animals will also inform the height and design of fencing and barriers.</w:t>
      </w:r>
    </w:p>
    <w:p w14:paraId="55F6F7AE" w14:textId="5C83589F" w:rsidR="006F7C9F"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Sufficient furniture, materials and developmentally appropriate equipment are provided and maintained in the education and care service in order to support all children to engage and access the program and develop their developing skills and independence</w:t>
      </w:r>
    </w:p>
    <w:p w14:paraId="35EBB2A4" w14:textId="75F25B4C" w:rsidR="00D74EC8"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Any laundry facility in the premises is located and maintained in a way that does not pose any risk to children</w:t>
      </w:r>
    </w:p>
    <w:p w14:paraId="6DA572F6" w14:textId="126CE3E8" w:rsidR="00D74EC8"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Adequate space requirements are maintained in both the indoor and outdoor environments</w:t>
      </w:r>
    </w:p>
    <w:p w14:paraId="76700336" w14:textId="43D25EDB" w:rsidR="00D74EC8"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Toilets, washing and drying facilities are developmentally and age appropriate and are located and designed in a way that support safe use and convenient access by children</w:t>
      </w:r>
    </w:p>
    <w:p w14:paraId="423816D8" w14:textId="75DA6E60" w:rsidR="00D74EC8"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nappy change areas support safe access and hygienic nappy change routines and that educators and children have ready access to hand washing facilities</w:t>
      </w:r>
    </w:p>
    <w:p w14:paraId="788DE015" w14:textId="620F2A26" w:rsidR="00D74EC8"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lastRenderedPageBreak/>
        <w:t>Education and care environments are well ventilated and have adequate natural light.</w:t>
      </w:r>
    </w:p>
    <w:p w14:paraId="57C956AE" w14:textId="6255A30D" w:rsidR="00D74EC8"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Indoor temperatures are maintained at levels that support children’s safety and wellbeing</w:t>
      </w:r>
    </w:p>
    <w:p w14:paraId="7AD0E4F1" w14:textId="4A18CB05" w:rsidR="00D74EC8"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play spaces in the education and acre service provide children with opportunities to explore and experience the natural environment</w:t>
      </w:r>
      <w:r>
        <w:rPr>
          <w:rFonts w:asciiTheme="majorHAnsi" w:eastAsia="Times New Roman" w:hAnsiTheme="majorHAnsi" w:cstheme="majorHAnsi"/>
          <w:sz w:val="24"/>
          <w:szCs w:val="24"/>
          <w:lang w:eastAsia="en-AU"/>
        </w:rPr>
        <w:br/>
      </w:r>
    </w:p>
    <w:p w14:paraId="662C3C79" w14:textId="2BE2FC7D" w:rsidR="00D74EC8" w:rsidRDefault="00D74EC8"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outdoor education and care service</w:t>
      </w:r>
      <w:r w:rsidR="0015732A">
        <w:rPr>
          <w:rFonts w:asciiTheme="majorHAnsi" w:eastAsia="Times New Roman" w:hAnsiTheme="majorHAnsi" w:cstheme="majorHAnsi"/>
          <w:sz w:val="24"/>
          <w:szCs w:val="24"/>
          <w:lang w:eastAsia="en-AU"/>
        </w:rPr>
        <w:t xml:space="preserve"> environment has adequate shaded areas to protect children from ultraviolet radiation from the sun</w:t>
      </w:r>
    </w:p>
    <w:p w14:paraId="5B0A0EB4" w14:textId="2C4EEC93" w:rsidR="0015732A" w:rsidRDefault="0015732A"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environment seeks to support convent access to both indoor and outdoor play activities and to toilet and nappy change facilities according to supervision requirements, children’s independence and developmental needs.</w:t>
      </w:r>
    </w:p>
    <w:p w14:paraId="64C31D7B" w14:textId="42AC4F9D" w:rsidR="0015732A" w:rsidRDefault="0015732A" w:rsidP="006F7C9F">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Where possible, gardens reflect the local natural habitat and encourage native wildlife into the education and care environment.</w:t>
      </w:r>
    </w:p>
    <w:p w14:paraId="07E23240"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BAE7F85"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83838A0" w14:textId="6D464293" w:rsidR="006068F6" w:rsidRDefault="00BD0EB6"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sidRPr="006068F6">
        <w:rPr>
          <w:rFonts w:asciiTheme="majorHAnsi" w:eastAsia="Times New Roman" w:hAnsiTheme="majorHAnsi" w:cstheme="majorHAnsi"/>
          <w:b/>
          <w:sz w:val="24"/>
          <w:szCs w:val="24"/>
          <w:lang w:eastAsia="en-AU"/>
        </w:rPr>
        <w:t xml:space="preserve">The Nominated Supervisor/Director </w:t>
      </w:r>
      <w:r w:rsidR="006068F6" w:rsidRPr="006068F6">
        <w:rPr>
          <w:rFonts w:asciiTheme="majorHAnsi" w:eastAsia="Times New Roman" w:hAnsiTheme="majorHAnsi" w:cstheme="majorHAnsi"/>
          <w:b/>
          <w:sz w:val="24"/>
          <w:szCs w:val="24"/>
          <w:lang w:eastAsia="en-AU"/>
        </w:rPr>
        <w:t>will:</w:t>
      </w:r>
    </w:p>
    <w:p w14:paraId="11DE152A" w14:textId="77777777" w:rsidR="006068F6" w:rsidRDefault="006068F6"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7D62B8E4" w14:textId="72B90AC8" w:rsidR="00BD0EB6" w:rsidRPr="006068F6" w:rsidRDefault="006068F6" w:rsidP="003F33C1">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Ensure that plants are selected to minimise risk to children. No poisonous or dangerous plants will be included in the education and care environment. See fact sheet on </w:t>
      </w:r>
      <w:r>
        <w:rPr>
          <w:rFonts w:asciiTheme="majorHAnsi" w:eastAsia="Times New Roman" w:hAnsiTheme="majorHAnsi" w:cstheme="majorHAnsi"/>
          <w:i/>
          <w:sz w:val="24"/>
          <w:szCs w:val="24"/>
          <w:lang w:eastAsia="en-AU"/>
        </w:rPr>
        <w:t xml:space="preserve"> - Poisonous Plants – </w:t>
      </w:r>
      <w:hyperlink r:id="rId7" w:history="1">
        <w:r w:rsidRPr="00A270E4">
          <w:rPr>
            <w:rStyle w:val="Hyperlink"/>
            <w:rFonts w:asciiTheme="majorHAnsi" w:eastAsia="Times New Roman" w:hAnsiTheme="majorHAnsi" w:cstheme="majorHAnsi"/>
            <w:i/>
            <w:sz w:val="24"/>
            <w:szCs w:val="24"/>
            <w:lang w:eastAsia="en-AU"/>
          </w:rPr>
          <w:t>www.gtp.com.au/kidsafeqld/inerwfilkes/inews.5250.1.pdf</w:t>
        </w:r>
      </w:hyperlink>
    </w:p>
    <w:p w14:paraId="6D9E6936" w14:textId="73103404" w:rsidR="006068F6" w:rsidRDefault="006068F6" w:rsidP="003F33C1">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Collaborate with educators to carefully select and provide adequate numbers of resources in order to contribute to children’s sense of belonging and to provide new learning opportunities that extend and challenge children’s learning and development.</w:t>
      </w:r>
    </w:p>
    <w:p w14:paraId="4FA8733D" w14:textId="77777777" w:rsidR="006068F6" w:rsidRPr="006068F6" w:rsidRDefault="006068F6" w:rsidP="00606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F38FB73" w14:textId="3A05CD02" w:rsidR="006068F6" w:rsidRDefault="006068F6"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educational Leader will collaborate with Educators to:</w:t>
      </w:r>
    </w:p>
    <w:p w14:paraId="7B9330F9"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B151032" w14:textId="365090AD" w:rsidR="00BD0EB6" w:rsidRDefault="006068F6" w:rsidP="006068F6">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Equally value both indoor and outdoor learning environment as places to support children’s learning, creativity, social engagement and sense of belonging</w:t>
      </w:r>
    </w:p>
    <w:p w14:paraId="26C047FC" w14:textId="58BEBB47" w:rsidR="006068F6" w:rsidRDefault="004B0DED" w:rsidP="006068F6">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Seek to develop learning environments that are secure and predictable and that support children to take increasing responsibility for their health, hygiene and personal care</w:t>
      </w:r>
    </w:p>
    <w:p w14:paraId="06567CB6" w14:textId="3E11D0BA" w:rsidR="004B0DED" w:rsidRDefault="004B0DED" w:rsidP="006068F6">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Design learning environments that are welcoming and accessible for all children and families, considering cultural diversity, social and physical inclusion</w:t>
      </w:r>
    </w:p>
    <w:p w14:paraId="39C514E0" w14:textId="254582BB" w:rsidR="004B0DED" w:rsidRDefault="004B0DED" w:rsidP="006068F6">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Design learning environments that reflect children’s different cultures, interests, abilities and learning styles.</w:t>
      </w:r>
    </w:p>
    <w:p w14:paraId="4C8144FD" w14:textId="42A64DC4" w:rsidR="004B0DED" w:rsidRDefault="004B0DED" w:rsidP="006068F6">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Design environments that support small group work in ways that minimise the risk of injury, minimise disruption between activities, minimise conflict between children and reduce prolonged exposure to excess internal and external noise.</w:t>
      </w:r>
    </w:p>
    <w:p w14:paraId="16407A73" w14:textId="4CF8D9A6" w:rsidR="004B0DED" w:rsidRDefault="004B0DED" w:rsidP="006068F6">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Design outdoor learning experiences that complement and extend the indoors activities and learning experiences</w:t>
      </w:r>
    </w:p>
    <w:p w14:paraId="010236B1" w14:textId="2877F1AA" w:rsidR="004B0DED" w:rsidRDefault="004B0DED" w:rsidP="006068F6">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Endure that outdoor environments provide opportunities to learn through play, enabling access to materials that stimulate investigation and reflection, and enriched with natural resources and opportunities to connect with nature.</w:t>
      </w:r>
    </w:p>
    <w:p w14:paraId="4E7A4F8C" w14:textId="77777777" w:rsidR="004B0DED" w:rsidRDefault="004B0DED" w:rsidP="006068F6">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C7ECC38" w14:textId="77777777" w:rsidR="004B0DED" w:rsidRDefault="004B0DED" w:rsidP="004B0D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0241D2C" w14:textId="454A7FD5" w:rsidR="004B0DED" w:rsidRDefault="004B0DED" w:rsidP="004B0DE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Design indoor environments that are enriched by natural resources and opportunities to be active, messy and noisy and play on a large scale.</w:t>
      </w:r>
    </w:p>
    <w:p w14:paraId="6FDCE916" w14:textId="77777777" w:rsidR="004B0DED" w:rsidRPr="004B0DED" w:rsidRDefault="004B0DED" w:rsidP="004B0DED">
      <w:pPr>
        <w:pStyle w:val="ListParagraph"/>
        <w:rPr>
          <w:rFonts w:asciiTheme="majorHAnsi" w:eastAsia="Times New Roman" w:hAnsiTheme="majorHAnsi" w:cstheme="majorHAnsi"/>
          <w:sz w:val="24"/>
          <w:szCs w:val="24"/>
          <w:lang w:eastAsia="en-AU"/>
        </w:rPr>
      </w:pPr>
    </w:p>
    <w:p w14:paraId="16EF40E9" w14:textId="5DB33FD0" w:rsidR="004B0DED" w:rsidRDefault="00FF4089" w:rsidP="004B0DE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Encourage and nurture children’s interest in the world around them. By providing children with materials, resources and information, educators can help children to appreciate and respect the beauty of their natural and built environments</w:t>
      </w:r>
    </w:p>
    <w:p w14:paraId="40A40480" w14:textId="77777777" w:rsidR="00FF4089" w:rsidRPr="00FF4089" w:rsidRDefault="00FF4089" w:rsidP="00FF4089">
      <w:pPr>
        <w:pStyle w:val="ListParagraph"/>
        <w:rPr>
          <w:rFonts w:asciiTheme="majorHAnsi" w:eastAsia="Times New Roman" w:hAnsiTheme="majorHAnsi" w:cstheme="majorHAnsi"/>
          <w:sz w:val="24"/>
          <w:szCs w:val="24"/>
          <w:lang w:eastAsia="en-AU"/>
        </w:rPr>
      </w:pPr>
    </w:p>
    <w:p w14:paraId="456C101F" w14:textId="66D99C5C" w:rsidR="00FF4089" w:rsidRDefault="00FF4089" w:rsidP="004B0DE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Select resour</w:t>
      </w:r>
      <w:r w:rsidR="009E7ECC">
        <w:rPr>
          <w:rFonts w:asciiTheme="majorHAnsi" w:eastAsia="Times New Roman" w:hAnsiTheme="majorHAnsi" w:cstheme="majorHAnsi"/>
          <w:sz w:val="24"/>
          <w:szCs w:val="24"/>
          <w:lang w:eastAsia="en-AU"/>
        </w:rPr>
        <w:t>ces and design learning environments that foster children’s connections with the natural environment</w:t>
      </w:r>
    </w:p>
    <w:p w14:paraId="38F4415C" w14:textId="77777777" w:rsidR="009E7ECC" w:rsidRPr="009E7ECC" w:rsidRDefault="009E7ECC" w:rsidP="009E7ECC">
      <w:pPr>
        <w:pStyle w:val="ListParagraph"/>
        <w:rPr>
          <w:rFonts w:asciiTheme="majorHAnsi" w:eastAsia="Times New Roman" w:hAnsiTheme="majorHAnsi" w:cstheme="majorHAnsi"/>
          <w:sz w:val="24"/>
          <w:szCs w:val="24"/>
          <w:lang w:eastAsia="en-AU"/>
        </w:rPr>
      </w:pPr>
    </w:p>
    <w:p w14:paraId="455069B6" w14:textId="7A176E3B" w:rsidR="009E7ECC" w:rsidRDefault="009E7ECC" w:rsidP="004B0DE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Select natural materials and fibres if possible, when purchasing new equipment and resources. These include items such as wooden shelving and natural materials. Such resources enhance the look and feel of nature within the environment.</w:t>
      </w:r>
    </w:p>
    <w:p w14:paraId="6FECD427" w14:textId="77777777" w:rsidR="009E7ECC" w:rsidRPr="009E7ECC" w:rsidRDefault="009E7ECC" w:rsidP="009E7ECC">
      <w:pPr>
        <w:pStyle w:val="ListParagraph"/>
        <w:rPr>
          <w:rFonts w:asciiTheme="majorHAnsi" w:eastAsia="Times New Roman" w:hAnsiTheme="majorHAnsi" w:cstheme="majorHAnsi"/>
          <w:sz w:val="24"/>
          <w:szCs w:val="24"/>
          <w:lang w:eastAsia="en-AU"/>
        </w:rPr>
      </w:pPr>
    </w:p>
    <w:p w14:paraId="2F1CACA1" w14:textId="7B511540" w:rsidR="009E7ECC" w:rsidRDefault="009E7ECC" w:rsidP="004B0DE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Natural and flexible play materials such as sand, leaves and eater will be available for children</w:t>
      </w:r>
    </w:p>
    <w:p w14:paraId="70A93B4C" w14:textId="77777777" w:rsidR="009E7ECC" w:rsidRPr="009E7ECC" w:rsidRDefault="009E7ECC" w:rsidP="009E7ECC">
      <w:pPr>
        <w:pStyle w:val="ListParagraph"/>
        <w:rPr>
          <w:rFonts w:asciiTheme="majorHAnsi" w:eastAsia="Times New Roman" w:hAnsiTheme="majorHAnsi" w:cstheme="majorHAnsi"/>
          <w:sz w:val="24"/>
          <w:szCs w:val="24"/>
          <w:lang w:eastAsia="en-AU"/>
        </w:rPr>
      </w:pPr>
    </w:p>
    <w:p w14:paraId="4FD6B7AC" w14:textId="4A05ADBF" w:rsidR="009E7ECC" w:rsidRDefault="009E7ECC" w:rsidP="004B0DE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Encourage children and families to collect and bring recycled equipment and natural resources into the environment</w:t>
      </w:r>
    </w:p>
    <w:p w14:paraId="00DC9AF4" w14:textId="77777777" w:rsidR="009E7ECC" w:rsidRPr="009E7ECC" w:rsidRDefault="009E7ECC" w:rsidP="009E7ECC">
      <w:pPr>
        <w:pStyle w:val="ListParagraph"/>
        <w:rPr>
          <w:rFonts w:asciiTheme="majorHAnsi" w:eastAsia="Times New Roman" w:hAnsiTheme="majorHAnsi" w:cstheme="majorHAnsi"/>
          <w:sz w:val="24"/>
          <w:szCs w:val="24"/>
          <w:lang w:eastAsia="en-AU"/>
        </w:rPr>
      </w:pPr>
    </w:p>
    <w:p w14:paraId="784CC918" w14:textId="4310CA14" w:rsidR="009E7ECC" w:rsidRDefault="009E7ECC" w:rsidP="004B0DE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Encourage children to care for plants by growing plants from seeds</w:t>
      </w:r>
    </w:p>
    <w:p w14:paraId="76254A63" w14:textId="77777777" w:rsidR="009E7ECC" w:rsidRPr="009E7ECC" w:rsidRDefault="009E7ECC" w:rsidP="009E7ECC">
      <w:pPr>
        <w:pStyle w:val="ListParagraph"/>
        <w:rPr>
          <w:rFonts w:asciiTheme="majorHAnsi" w:eastAsia="Times New Roman" w:hAnsiTheme="majorHAnsi" w:cstheme="majorHAnsi"/>
          <w:sz w:val="24"/>
          <w:szCs w:val="24"/>
          <w:lang w:eastAsia="en-AU"/>
        </w:rPr>
      </w:pPr>
    </w:p>
    <w:p w14:paraId="79E436A1" w14:textId="5A60132B" w:rsidR="009E7ECC" w:rsidRDefault="009E7ECC" w:rsidP="004B0DED">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Design areas for appreciation of nature, where educators and children can observe the natural play environment and reflect on nature.</w:t>
      </w:r>
      <w:r w:rsidR="00E922F4">
        <w:rPr>
          <w:rFonts w:asciiTheme="majorHAnsi" w:eastAsia="Times New Roman" w:hAnsiTheme="majorHAnsi" w:cstheme="majorHAnsi"/>
          <w:sz w:val="24"/>
          <w:szCs w:val="24"/>
          <w:lang w:eastAsia="en-AU"/>
        </w:rPr>
        <w:t xml:space="preserve"> This will include the introduction of indoor plants into indoor areas. Educators and children will be responsible for care of these plants ensuring they have enough sunlight and water. As in the outdoor gardens, plants will be selected to minimise the risk to children.</w:t>
      </w:r>
    </w:p>
    <w:p w14:paraId="32CC4CE9" w14:textId="77777777" w:rsidR="00E922F4" w:rsidRPr="00E922F4" w:rsidRDefault="00E922F4" w:rsidP="00E922F4">
      <w:pPr>
        <w:pStyle w:val="ListParagraph"/>
        <w:rPr>
          <w:rFonts w:asciiTheme="majorHAnsi" w:eastAsia="Times New Roman" w:hAnsiTheme="majorHAnsi" w:cstheme="majorHAnsi"/>
          <w:sz w:val="24"/>
          <w:szCs w:val="24"/>
          <w:lang w:eastAsia="en-AU"/>
        </w:rPr>
      </w:pPr>
    </w:p>
    <w:p w14:paraId="07A830AD" w14:textId="0742428D" w:rsidR="00E922F4" w:rsidRDefault="00E922F4" w:rsidP="00E92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4E53FDF3" w14:textId="10CA323A" w:rsidR="00E922F4" w:rsidRPr="00E922F4" w:rsidRDefault="00E922F4" w:rsidP="00E92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education and care service has aesthetically pleasing, safe flexible and functional play and learning environments. Educators, children and families are supported to consider environmentally sustainable practises. Children’s emotional, physical, social, cognitive and spiritual wellbeing are supported by th</w:t>
      </w:r>
      <w:r w:rsidR="00775844">
        <w:rPr>
          <w:rFonts w:asciiTheme="majorHAnsi" w:eastAsia="Times New Roman" w:hAnsiTheme="majorHAnsi" w:cstheme="majorHAnsi"/>
          <w:sz w:val="24"/>
          <w:szCs w:val="24"/>
          <w:lang w:eastAsia="en-AU"/>
        </w:rPr>
        <w:t>e design and functions of the i</w:t>
      </w:r>
      <w:r>
        <w:rPr>
          <w:rFonts w:asciiTheme="majorHAnsi" w:eastAsia="Times New Roman" w:hAnsiTheme="majorHAnsi" w:cstheme="majorHAnsi"/>
          <w:sz w:val="24"/>
          <w:szCs w:val="24"/>
          <w:lang w:eastAsia="en-AU"/>
        </w:rPr>
        <w:t xml:space="preserve">ndoor and outdoor </w:t>
      </w:r>
      <w:r w:rsidR="00775844">
        <w:rPr>
          <w:rFonts w:asciiTheme="majorHAnsi" w:eastAsia="Times New Roman" w:hAnsiTheme="majorHAnsi" w:cstheme="majorHAnsi"/>
          <w:sz w:val="24"/>
          <w:szCs w:val="24"/>
          <w:lang w:eastAsia="en-AU"/>
        </w:rPr>
        <w:t>environments</w:t>
      </w:r>
      <w:r>
        <w:rPr>
          <w:rFonts w:asciiTheme="majorHAnsi" w:eastAsia="Times New Roman" w:hAnsiTheme="majorHAnsi" w:cstheme="majorHAnsi"/>
          <w:sz w:val="24"/>
          <w:szCs w:val="24"/>
          <w:lang w:eastAsia="en-AU"/>
        </w:rPr>
        <w:t>. The environment complements t</w:t>
      </w:r>
      <w:bookmarkStart w:id="0" w:name="_GoBack"/>
      <w:bookmarkEnd w:id="0"/>
      <w:r>
        <w:rPr>
          <w:rFonts w:asciiTheme="majorHAnsi" w:eastAsia="Times New Roman" w:hAnsiTheme="majorHAnsi" w:cstheme="majorHAnsi"/>
          <w:sz w:val="24"/>
          <w:szCs w:val="24"/>
          <w:lang w:eastAsia="en-AU"/>
        </w:rPr>
        <w:t>he educational care and services, suppo</w:t>
      </w:r>
      <w:r w:rsidR="00775844">
        <w:rPr>
          <w:rFonts w:asciiTheme="majorHAnsi" w:eastAsia="Times New Roman" w:hAnsiTheme="majorHAnsi" w:cstheme="majorHAnsi"/>
          <w:sz w:val="24"/>
          <w:szCs w:val="24"/>
          <w:lang w:eastAsia="en-AU"/>
        </w:rPr>
        <w:t>rting children to have a strong</w:t>
      </w:r>
      <w:r>
        <w:rPr>
          <w:rFonts w:asciiTheme="majorHAnsi" w:eastAsia="Times New Roman" w:hAnsiTheme="majorHAnsi" w:cstheme="majorHAnsi"/>
          <w:sz w:val="24"/>
          <w:szCs w:val="24"/>
          <w:lang w:eastAsia="en-AU"/>
        </w:rPr>
        <w:t xml:space="preserve"> sense of being and belonging, as well as facilitating their growth and development.</w:t>
      </w:r>
    </w:p>
    <w:p w14:paraId="28236DD5" w14:textId="2BC92478" w:rsidR="004B0DED" w:rsidRPr="004B0DED" w:rsidRDefault="00FF4089" w:rsidP="004B0D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 </w:t>
      </w:r>
    </w:p>
    <w:p w14:paraId="1EC3B44C" w14:textId="6C2C879C" w:rsidR="00181C31" w:rsidRPr="00181C31" w:rsidRDefault="00181C31" w:rsidP="004B0D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sectPr w:rsidR="00181C31" w:rsidRPr="00181C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0747F7"/>
    <w:multiLevelType w:val="hybridMultilevel"/>
    <w:tmpl w:val="349E02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CBA74BD"/>
    <w:multiLevelType w:val="hybridMultilevel"/>
    <w:tmpl w:val="F2F8A6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6"/>
  </w:num>
  <w:num w:numId="5">
    <w:abstractNumId w:val="20"/>
  </w:num>
  <w:num w:numId="6">
    <w:abstractNumId w:val="2"/>
  </w:num>
  <w:num w:numId="7">
    <w:abstractNumId w:val="8"/>
  </w:num>
  <w:num w:numId="8">
    <w:abstractNumId w:val="7"/>
  </w:num>
  <w:num w:numId="9">
    <w:abstractNumId w:val="16"/>
  </w:num>
  <w:num w:numId="10">
    <w:abstractNumId w:val="24"/>
  </w:num>
  <w:num w:numId="11">
    <w:abstractNumId w:val="9"/>
  </w:num>
  <w:num w:numId="12">
    <w:abstractNumId w:val="25"/>
  </w:num>
  <w:num w:numId="13">
    <w:abstractNumId w:val="10"/>
  </w:num>
  <w:num w:numId="14">
    <w:abstractNumId w:val="22"/>
  </w:num>
  <w:num w:numId="15">
    <w:abstractNumId w:val="13"/>
  </w:num>
  <w:num w:numId="16">
    <w:abstractNumId w:val="17"/>
  </w:num>
  <w:num w:numId="17">
    <w:abstractNumId w:val="11"/>
  </w:num>
  <w:num w:numId="18">
    <w:abstractNumId w:val="4"/>
  </w:num>
  <w:num w:numId="19">
    <w:abstractNumId w:val="3"/>
  </w:num>
  <w:num w:numId="20">
    <w:abstractNumId w:val="1"/>
  </w:num>
  <w:num w:numId="21">
    <w:abstractNumId w:val="21"/>
  </w:num>
  <w:num w:numId="22">
    <w:abstractNumId w:val="12"/>
  </w:num>
  <w:num w:numId="23">
    <w:abstractNumId w:val="23"/>
  </w:num>
  <w:num w:numId="24">
    <w:abstractNumId w:val="19"/>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5732A"/>
    <w:rsid w:val="00181C31"/>
    <w:rsid w:val="001B1FAA"/>
    <w:rsid w:val="001D6EF2"/>
    <w:rsid w:val="001E693F"/>
    <w:rsid w:val="00237639"/>
    <w:rsid w:val="00262C1B"/>
    <w:rsid w:val="002D0B62"/>
    <w:rsid w:val="002D6692"/>
    <w:rsid w:val="002E77BB"/>
    <w:rsid w:val="003A647B"/>
    <w:rsid w:val="003D4E11"/>
    <w:rsid w:val="003F33C1"/>
    <w:rsid w:val="004300F2"/>
    <w:rsid w:val="004A409D"/>
    <w:rsid w:val="004B0DED"/>
    <w:rsid w:val="004D5B02"/>
    <w:rsid w:val="004F1750"/>
    <w:rsid w:val="00553C21"/>
    <w:rsid w:val="005A54A3"/>
    <w:rsid w:val="006068F6"/>
    <w:rsid w:val="00607CFC"/>
    <w:rsid w:val="00662EE3"/>
    <w:rsid w:val="00665602"/>
    <w:rsid w:val="00665641"/>
    <w:rsid w:val="006D1F0E"/>
    <w:rsid w:val="006F7C9F"/>
    <w:rsid w:val="007441E5"/>
    <w:rsid w:val="007653B5"/>
    <w:rsid w:val="00775844"/>
    <w:rsid w:val="00777807"/>
    <w:rsid w:val="007B3630"/>
    <w:rsid w:val="007D15BD"/>
    <w:rsid w:val="00851F53"/>
    <w:rsid w:val="008C6803"/>
    <w:rsid w:val="008D2ECE"/>
    <w:rsid w:val="008D410D"/>
    <w:rsid w:val="008E5B00"/>
    <w:rsid w:val="009032E6"/>
    <w:rsid w:val="0096563B"/>
    <w:rsid w:val="00983322"/>
    <w:rsid w:val="009C1DE4"/>
    <w:rsid w:val="009E7ECC"/>
    <w:rsid w:val="00A45A1E"/>
    <w:rsid w:val="00A47797"/>
    <w:rsid w:val="00A561AA"/>
    <w:rsid w:val="00A56C0C"/>
    <w:rsid w:val="00AB684D"/>
    <w:rsid w:val="00BC30B4"/>
    <w:rsid w:val="00BD0EB6"/>
    <w:rsid w:val="00BF2707"/>
    <w:rsid w:val="00C3035D"/>
    <w:rsid w:val="00C67D48"/>
    <w:rsid w:val="00CC204D"/>
    <w:rsid w:val="00D20820"/>
    <w:rsid w:val="00D52AF2"/>
    <w:rsid w:val="00D709C9"/>
    <w:rsid w:val="00D747CF"/>
    <w:rsid w:val="00D74EC8"/>
    <w:rsid w:val="00D906DB"/>
    <w:rsid w:val="00E45B2F"/>
    <w:rsid w:val="00E922F4"/>
    <w:rsid w:val="00F145A5"/>
    <w:rsid w:val="00F94E44"/>
    <w:rsid w:val="00FF4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tp.com.au/kidsafeqld/inerwfilkes/inews.525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9</cp:revision>
  <cp:lastPrinted>2019-05-20T00:30:00Z</cp:lastPrinted>
  <dcterms:created xsi:type="dcterms:W3CDTF">2020-05-14T00:02:00Z</dcterms:created>
  <dcterms:modified xsi:type="dcterms:W3CDTF">2020-05-14T00:51:00Z</dcterms:modified>
</cp:coreProperties>
</file>