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00AFF" w14:textId="77777777" w:rsidR="001B1FAA" w:rsidRDefault="001B1FAA" w:rsidP="00851F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4B8B3B08" w14:textId="176578DC" w:rsidR="001B1FAA" w:rsidRDefault="003222F7"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Leadership and Management – Quality Area 6</w:t>
      </w:r>
    </w:p>
    <w:p w14:paraId="5D37DD7F" w14:textId="2C271DE2" w:rsidR="002805E6" w:rsidRDefault="003222F7"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Harassment Free Workplace</w:t>
      </w:r>
    </w:p>
    <w:p w14:paraId="06182921" w14:textId="77777777" w:rsidR="002805E6"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color w:val="4472C4" w:themeColor="accent1"/>
          <w:sz w:val="24"/>
          <w:szCs w:val="24"/>
          <w:lang w:eastAsia="en-AU"/>
        </w:rPr>
      </w:pPr>
    </w:p>
    <w:p w14:paraId="46D536CC" w14:textId="6BB8E64E" w:rsidR="002805E6" w:rsidRDefault="00470F6D"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INTRODUCTION</w:t>
      </w:r>
      <w:r w:rsidR="002805E6">
        <w:rPr>
          <w:rFonts w:asciiTheme="majorHAnsi" w:eastAsia="Times New Roman" w:hAnsiTheme="majorHAnsi" w:cstheme="majorHAnsi"/>
          <w:color w:val="4472C4" w:themeColor="accent1"/>
          <w:sz w:val="24"/>
          <w:szCs w:val="24"/>
          <w:lang w:eastAsia="en-AU"/>
        </w:rPr>
        <w:t>:</w:t>
      </w:r>
    </w:p>
    <w:p w14:paraId="2FFE8F82" w14:textId="2FFDB200"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7F8380E4" w14:textId="3DC26D98" w:rsidR="001B1FAA" w:rsidRPr="002805E6" w:rsidRDefault="00470F6D" w:rsidP="002805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Creating a workplace with a vision and meaningful direction, consistent values and ethics will foster a positive and productive work environment free from harassment or bullying. Further when professional standards guide educator’s practises, interactions and relationships, children’s learning and development, safety wellbeing will be effectively supported.</w:t>
      </w:r>
    </w:p>
    <w:p w14:paraId="72F49992" w14:textId="690754A7" w:rsidR="001B1FAA" w:rsidRPr="001B1FAA" w:rsidRDefault="001B1FAA"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1F1B1D73" w14:textId="68CD6D44" w:rsidR="001B1FAA" w:rsidRDefault="00470F6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r>
        <w:rPr>
          <w:rFonts w:asciiTheme="majorHAnsi" w:eastAsia="Times New Roman" w:hAnsiTheme="majorHAnsi" w:cstheme="majorHAnsi"/>
          <w:color w:val="4472C4" w:themeColor="accent1"/>
          <w:sz w:val="24"/>
          <w:szCs w:val="24"/>
          <w:lang w:eastAsia="en-AU"/>
        </w:rPr>
        <w:t>AIM</w:t>
      </w:r>
      <w:r w:rsidR="002805E6">
        <w:rPr>
          <w:rFonts w:asciiTheme="majorHAnsi" w:eastAsia="Times New Roman" w:hAnsiTheme="majorHAnsi" w:cstheme="majorHAnsi"/>
          <w:color w:val="4472C4" w:themeColor="accent1"/>
          <w:sz w:val="24"/>
          <w:szCs w:val="24"/>
          <w:lang w:eastAsia="en-AU"/>
        </w:rPr>
        <w:t>:</w:t>
      </w:r>
    </w:p>
    <w:p w14:paraId="1F5AA301" w14:textId="77777777" w:rsidR="002805E6" w:rsidRDefault="002805E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4472C4" w:themeColor="accent1"/>
          <w:sz w:val="24"/>
          <w:szCs w:val="24"/>
          <w:lang w:eastAsia="en-AU"/>
        </w:rPr>
      </w:pPr>
    </w:p>
    <w:p w14:paraId="66F324ED" w14:textId="64E2EB8F" w:rsidR="00470F6D" w:rsidRDefault="00470F6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 will foster an environment of mutual respect equity and recognition of educator’s skills and strengths. This will be facilitated through our philosophy and by adhering to the early childhood code of conduct policy. Forest Hill Community Preschool endeavours to define clear expectations and guidelines for educators through clear job descriptions, policies and procedures. Forest Hill Community Preschool encourages open communication to create understanding between educators and management.</w:t>
      </w:r>
    </w:p>
    <w:p w14:paraId="4890AC1B" w14:textId="77777777" w:rsidR="00470F6D" w:rsidRDefault="00470F6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7127737A" w14:textId="0546E1B6" w:rsidR="00470F6D" w:rsidRDefault="00470F6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STRATEGIES:</w:t>
      </w:r>
    </w:p>
    <w:p w14:paraId="104C0FC7" w14:textId="77777777" w:rsidR="00470F6D" w:rsidRDefault="00470F6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51061265" w14:textId="1660BBBA" w:rsidR="00470F6D" w:rsidRDefault="00470F6D"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Forest Hill Community Preschools philosophy and policy and procedures will guide educator interactions and practises by providing a vision, a purpose and a meaningful direction regarding goals for children and families.</w:t>
      </w:r>
    </w:p>
    <w:p w14:paraId="42CD63A1" w14:textId="77777777" w:rsidR="00E94CA6" w:rsidRDefault="00E94CA6" w:rsidP="001B1F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002509A3" w14:textId="77777777" w:rsidR="004B2A5C" w:rsidRPr="001B1FAA" w:rsidRDefault="004B2A5C" w:rsidP="004B2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sidRPr="001B1FAA">
        <w:rPr>
          <w:rFonts w:asciiTheme="majorHAnsi" w:eastAsia="Times New Roman" w:hAnsiTheme="majorHAnsi" w:cstheme="majorHAnsi"/>
          <w:b/>
          <w:bCs/>
          <w:color w:val="323130"/>
          <w:sz w:val="20"/>
          <w:szCs w:val="20"/>
          <w:lang w:eastAsia="en-AU"/>
        </w:rPr>
        <w:t>The Nominated Supervisor will:</w:t>
      </w:r>
    </w:p>
    <w:p w14:paraId="68291368" w14:textId="5EC11A74"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Carry out an orientation process for new employees at the commencement of employment. All staff are to read the staff handbook prior to starting employment. Appropriate behaviour and expectations will be discussed and staff familiarized with code of ethics, policies and procedures, complaints and feedback and grievances.</w:t>
      </w:r>
    </w:p>
    <w:p w14:paraId="3120C775" w14:textId="74805F12"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Encourage open communication and inform educators of inappropriate behaviours such as harassment and bullying and breeches to policies and procedures will not be tolerated.</w:t>
      </w:r>
    </w:p>
    <w:p w14:paraId="51909BE2" w14:textId="0033EC2D"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Encourage educators to report inappropriate behaviours using the complaints/grievances policies.</w:t>
      </w:r>
    </w:p>
    <w:p w14:paraId="7F97DE31" w14:textId="6379268D"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Address all inappropriate behaviours.</w:t>
      </w:r>
    </w:p>
    <w:p w14:paraId="62F81CE3" w14:textId="6A851210"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Increase educators awareness of appropriate interactions through professional development and training</w:t>
      </w:r>
    </w:p>
    <w:p w14:paraId="39C8E1A4" w14:textId="3221FC6A"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Encourage open discussions through staff meetings both informal and formal and through staff appraisals and self-reflection to clarify areas of improvement and professional growth.</w:t>
      </w:r>
    </w:p>
    <w:p w14:paraId="0DD7FD6D" w14:textId="2F55B9B4"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 xml:space="preserve">Welcome constructive feedback and reflection on teaching practises. Educators are encouraged to express opinions and work collaboratively with the nominated </w:t>
      </w:r>
      <w:r>
        <w:rPr>
          <w:rFonts w:asciiTheme="majorHAnsi" w:eastAsia="Times New Roman" w:hAnsiTheme="majorHAnsi" w:cstheme="majorHAnsi"/>
          <w:color w:val="323130"/>
          <w:sz w:val="24"/>
          <w:szCs w:val="24"/>
          <w:lang w:eastAsia="en-AU"/>
        </w:rPr>
        <w:lastRenderedPageBreak/>
        <w:t>supervisor/Director and management. These points and effective team work contributes to the success of the Preschool and facilitates continual improvement.</w:t>
      </w:r>
    </w:p>
    <w:p w14:paraId="5CDD42BA" w14:textId="1750785A"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Regularly review communication practises within the Preschool to ensure all educators are supported, empowered and acknowledged for their contributions.</w:t>
      </w:r>
    </w:p>
    <w:p w14:paraId="179915B0" w14:textId="3152EA7A" w:rsidR="004B2A5C" w:rsidRDefault="004B2A5C" w:rsidP="004B2A5C">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r>
        <w:rPr>
          <w:rFonts w:asciiTheme="majorHAnsi" w:eastAsia="Times New Roman" w:hAnsiTheme="majorHAnsi" w:cstheme="majorHAnsi"/>
          <w:color w:val="323130"/>
          <w:sz w:val="24"/>
          <w:szCs w:val="24"/>
          <w:lang w:eastAsia="en-AU"/>
        </w:rPr>
        <w:t>Treat all educators and staff equitably.</w:t>
      </w:r>
    </w:p>
    <w:p w14:paraId="7B601D59" w14:textId="77777777" w:rsidR="004B2A5C" w:rsidRPr="001B1FAA" w:rsidRDefault="004B2A5C" w:rsidP="00A8695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323130"/>
          <w:sz w:val="24"/>
          <w:szCs w:val="24"/>
          <w:lang w:eastAsia="en-AU"/>
        </w:rPr>
      </w:pPr>
    </w:p>
    <w:p w14:paraId="0ADA6B4E" w14:textId="77777777" w:rsidR="004B2A5C" w:rsidRPr="001D6EF2" w:rsidRDefault="004B2A5C" w:rsidP="004B2A5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sidRPr="001D6EF2">
        <w:rPr>
          <w:rFonts w:asciiTheme="majorHAnsi" w:eastAsia="Times New Roman" w:hAnsiTheme="majorHAnsi" w:cstheme="majorHAnsi"/>
          <w:b/>
          <w:bCs/>
          <w:color w:val="323130"/>
          <w:sz w:val="20"/>
          <w:szCs w:val="20"/>
          <w:lang w:eastAsia="en-AU"/>
        </w:rPr>
        <w:t>Educators will:</w:t>
      </w:r>
    </w:p>
    <w:p w14:paraId="2BCFBFE7" w14:textId="5D9A560F" w:rsidR="001D6EF2" w:rsidRPr="00A86951" w:rsidRDefault="00A86951" w:rsidP="00A86951">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sz w:val="24"/>
          <w:szCs w:val="24"/>
          <w:lang w:eastAsia="en-AU"/>
        </w:rPr>
        <w:t>Be involved in decision making with a clear understanding of their roles and responsibilities as defined in their job descriptions, duty lists and policies and procedures of the preschool.</w:t>
      </w:r>
    </w:p>
    <w:p w14:paraId="6B209FAB" w14:textId="4AA45923" w:rsidR="00A86951" w:rsidRPr="00A86951" w:rsidRDefault="00A86951" w:rsidP="00A86951">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sz w:val="24"/>
          <w:szCs w:val="24"/>
          <w:lang w:eastAsia="en-AU"/>
        </w:rPr>
        <w:t>Be valued for their contributions to the Preschools program and routines</w:t>
      </w:r>
    </w:p>
    <w:p w14:paraId="04E46FDE" w14:textId="7A324924" w:rsidR="00A86951" w:rsidRPr="00A86951" w:rsidRDefault="00A86951" w:rsidP="00A86951">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r>
        <w:rPr>
          <w:rFonts w:asciiTheme="majorHAnsi" w:eastAsia="Times New Roman" w:hAnsiTheme="majorHAnsi" w:cstheme="majorHAnsi"/>
          <w:sz w:val="24"/>
          <w:szCs w:val="24"/>
          <w:lang w:eastAsia="en-AU"/>
        </w:rPr>
        <w:t>Be encouraged to embrace the uniqueness and diversity of their colleagues. Skills, strengths and opinions of team members will be respected and supported by all educators and staff to create team cohesion based on respect and professionalism.</w:t>
      </w:r>
    </w:p>
    <w:p w14:paraId="7699828D" w14:textId="77777777" w:rsidR="00A86951" w:rsidRDefault="00A86951" w:rsidP="00A86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323130"/>
          <w:sz w:val="20"/>
          <w:szCs w:val="20"/>
          <w:lang w:eastAsia="en-AU"/>
        </w:rPr>
      </w:pPr>
    </w:p>
    <w:p w14:paraId="6333CAAE" w14:textId="77777777" w:rsidR="00A86951" w:rsidRPr="00E90F5D" w:rsidRDefault="00A86951" w:rsidP="00A869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bCs/>
          <w:color w:val="0070C0"/>
          <w:sz w:val="20"/>
          <w:szCs w:val="20"/>
          <w:lang w:eastAsia="en-AU"/>
        </w:rPr>
      </w:pPr>
    </w:p>
    <w:p w14:paraId="7C42200A" w14:textId="5D69185A" w:rsidR="001B1FAA" w:rsidRDefault="00E90F5D"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r>
        <w:rPr>
          <w:rFonts w:asciiTheme="majorHAnsi" w:eastAsia="Times New Roman" w:hAnsiTheme="majorHAnsi" w:cstheme="majorHAnsi"/>
          <w:color w:val="0070C0"/>
          <w:sz w:val="24"/>
          <w:szCs w:val="24"/>
          <w:lang w:eastAsia="en-AU"/>
        </w:rPr>
        <w:t>EVALUATION</w:t>
      </w:r>
    </w:p>
    <w:p w14:paraId="2046F671" w14:textId="77777777" w:rsidR="00E90F5D" w:rsidRDefault="00E90F5D"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70C0"/>
          <w:sz w:val="24"/>
          <w:szCs w:val="24"/>
          <w:lang w:eastAsia="en-AU"/>
        </w:rPr>
      </w:pPr>
    </w:p>
    <w:p w14:paraId="23D82397" w14:textId="05BDB23D" w:rsidR="00E90F5D" w:rsidRDefault="00E90F5D"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Educators and Management conduct themselves in a professional manner according to the Early Childhood code of ethics, the code of conduct and legislative guidelines. Inappropriate behaviours including harassment and bullying will not be tolerated.</w:t>
      </w:r>
    </w:p>
    <w:p w14:paraId="5A6F9541" w14:textId="77777777" w:rsidR="00E90F5D" w:rsidRDefault="00E90F5D"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6912FFE8" w14:textId="1DDBADD7" w:rsidR="00260BD0" w:rsidRPr="00260BD0" w:rsidRDefault="00E90F5D" w:rsidP="001D6E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sidRPr="00260BD0">
        <w:rPr>
          <w:rFonts w:asciiTheme="majorHAnsi" w:eastAsia="Times New Roman" w:hAnsiTheme="majorHAnsi" w:cstheme="majorHAnsi"/>
          <w:b/>
          <w:sz w:val="24"/>
          <w:szCs w:val="24"/>
          <w:lang w:eastAsia="en-AU"/>
        </w:rPr>
        <w:t>St</w:t>
      </w:r>
      <w:r w:rsidR="00260BD0" w:rsidRPr="00260BD0">
        <w:rPr>
          <w:rFonts w:asciiTheme="majorHAnsi" w:eastAsia="Times New Roman" w:hAnsiTheme="majorHAnsi" w:cstheme="majorHAnsi"/>
          <w:b/>
          <w:sz w:val="24"/>
          <w:szCs w:val="24"/>
          <w:lang w:eastAsia="en-AU"/>
        </w:rPr>
        <w:t>atutory Legislation &amp; Considerations:</w:t>
      </w:r>
    </w:p>
    <w:p w14:paraId="5033CCDF" w14:textId="22B8D3EE"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Early Childhood Code of ethics</w:t>
      </w:r>
    </w:p>
    <w:p w14:paraId="34F47EFF" w14:textId="7269E3C0"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Human rights and equal opportunities commission act 1986</w:t>
      </w:r>
    </w:p>
    <w:p w14:paraId="63533934" w14:textId="7A7DBDC9"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Fair work Act 2009</w:t>
      </w:r>
    </w:p>
    <w:p w14:paraId="0AC674DB" w14:textId="65317DBA"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NSW anti-discrimination act 1977</w:t>
      </w:r>
    </w:p>
    <w:p w14:paraId="44E6CC1E" w14:textId="47DD6126"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Guide to National quality standard (3) ACECQA (2011)</w:t>
      </w:r>
    </w:p>
    <w:p w14:paraId="36B138D0" w14:textId="6D319C47"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Early Years Learning Framework for Australia Belonging being becoming 2009</w:t>
      </w:r>
    </w:p>
    <w:p w14:paraId="12E4C3A0" w14:textId="77777777" w:rsidR="00260BD0" w:rsidRDefault="00260BD0" w:rsidP="00260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46118DA1" w14:textId="133566EC" w:rsidR="00260BD0" w:rsidRPr="00260BD0" w:rsidRDefault="00260BD0" w:rsidP="00260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b/>
          <w:sz w:val="24"/>
          <w:szCs w:val="24"/>
          <w:lang w:eastAsia="en-AU"/>
        </w:rPr>
      </w:pPr>
      <w:r>
        <w:rPr>
          <w:rFonts w:asciiTheme="majorHAnsi" w:eastAsia="Times New Roman" w:hAnsiTheme="majorHAnsi" w:cstheme="majorHAnsi"/>
          <w:b/>
          <w:sz w:val="24"/>
          <w:szCs w:val="24"/>
          <w:lang w:eastAsia="en-AU"/>
        </w:rPr>
        <w:t>Sources:</w:t>
      </w:r>
    </w:p>
    <w:p w14:paraId="54E7E975" w14:textId="1E7DFDF1"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Early Childhood Australia </w:t>
      </w:r>
      <w:hyperlink r:id="rId7" w:history="1">
        <w:r w:rsidRPr="00F10648">
          <w:rPr>
            <w:rStyle w:val="Hyperlink"/>
            <w:rFonts w:asciiTheme="majorHAnsi" w:eastAsia="Times New Roman" w:hAnsiTheme="majorHAnsi" w:cstheme="majorHAnsi"/>
            <w:sz w:val="24"/>
            <w:szCs w:val="24"/>
            <w:lang w:eastAsia="en-AU"/>
          </w:rPr>
          <w:t>www.earlychildhoodaustralia.org.au</w:t>
        </w:r>
      </w:hyperlink>
    </w:p>
    <w:p w14:paraId="64DFEC68" w14:textId="04157045"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Australasian legal information institute </w:t>
      </w:r>
      <w:hyperlink r:id="rId8" w:history="1">
        <w:r w:rsidRPr="00F10648">
          <w:rPr>
            <w:rStyle w:val="Hyperlink"/>
            <w:rFonts w:asciiTheme="majorHAnsi" w:eastAsia="Times New Roman" w:hAnsiTheme="majorHAnsi" w:cstheme="majorHAnsi"/>
            <w:sz w:val="24"/>
            <w:szCs w:val="24"/>
            <w:lang w:eastAsia="en-AU"/>
          </w:rPr>
          <w:t>www.austlii.edu.au</w:t>
        </w:r>
      </w:hyperlink>
    </w:p>
    <w:p w14:paraId="7BB7DEBF" w14:textId="57161CDF"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Preventing and managing bullying at work. A guide for employers </w:t>
      </w:r>
      <w:hyperlink r:id="rId9" w:history="1">
        <w:r w:rsidRPr="00F10648">
          <w:rPr>
            <w:rStyle w:val="Hyperlink"/>
            <w:rFonts w:asciiTheme="majorHAnsi" w:eastAsia="Times New Roman" w:hAnsiTheme="majorHAnsi" w:cstheme="majorHAnsi"/>
            <w:sz w:val="24"/>
            <w:szCs w:val="24"/>
            <w:lang w:eastAsia="en-AU"/>
          </w:rPr>
          <w:t>www.comcare.gov.au/forms</w:t>
        </w:r>
      </w:hyperlink>
    </w:p>
    <w:p w14:paraId="4580C362" w14:textId="2B198F7D"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 xml:space="preserve">Australian Government: Comcare – Bulllying Risk Management Tool </w:t>
      </w:r>
      <w:hyperlink r:id="rId10" w:history="1">
        <w:r w:rsidRPr="00F10648">
          <w:rPr>
            <w:rStyle w:val="Hyperlink"/>
            <w:rFonts w:asciiTheme="majorHAnsi" w:eastAsia="Times New Roman" w:hAnsiTheme="majorHAnsi" w:cstheme="majorHAnsi"/>
            <w:sz w:val="24"/>
            <w:szCs w:val="24"/>
            <w:lang w:eastAsia="en-AU"/>
          </w:rPr>
          <w:t>www.comcare.gov.au</w:t>
        </w:r>
      </w:hyperlink>
    </w:p>
    <w:p w14:paraId="75F137D2" w14:textId="77777777" w:rsidR="00260BD0" w:rsidRDefault="00260BD0" w:rsidP="00260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p w14:paraId="14307A74" w14:textId="22D68358" w:rsidR="00260BD0" w:rsidRDefault="00260BD0" w:rsidP="00260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b/>
          <w:sz w:val="24"/>
          <w:szCs w:val="24"/>
          <w:lang w:eastAsia="en-AU"/>
        </w:rPr>
        <w:t>Links to other policies documents</w:t>
      </w:r>
    </w:p>
    <w:p w14:paraId="7C46BF37" w14:textId="3B707814"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Complaints/feedback/grievance policy</w:t>
      </w:r>
    </w:p>
    <w:p w14:paraId="320D1878" w14:textId="4305EC6E"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Code of ethics</w:t>
      </w:r>
    </w:p>
    <w:p w14:paraId="5C6FAB27" w14:textId="7A5FA861" w:rsid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Education and Care Services National Regulation 2011: Schedule 1</w:t>
      </w:r>
    </w:p>
    <w:p w14:paraId="554C1C10" w14:textId="42CB939D" w:rsidR="00260BD0" w:rsidRPr="00260BD0" w:rsidRDefault="00260BD0" w:rsidP="00260BD0">
      <w:pPr>
        <w:pStyle w:val="ListParagraph"/>
        <w:numPr>
          <w:ilvl w:val="0"/>
          <w:numId w:val="2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r>
        <w:rPr>
          <w:rFonts w:asciiTheme="majorHAnsi" w:eastAsia="Times New Roman" w:hAnsiTheme="majorHAnsi" w:cstheme="majorHAnsi"/>
          <w:sz w:val="24"/>
          <w:szCs w:val="24"/>
          <w:lang w:eastAsia="en-AU"/>
        </w:rPr>
        <w:t>National Quality Standards/elements: 4.2,4.2.1,4.2.3,7.1,7.1.2,7.2,7.3.4</w:t>
      </w:r>
      <w:bookmarkStart w:id="0" w:name="_GoBack"/>
      <w:bookmarkEnd w:id="0"/>
    </w:p>
    <w:p w14:paraId="1A797A39" w14:textId="68073FD2" w:rsidR="00260BD0" w:rsidRPr="00260BD0" w:rsidRDefault="00260BD0" w:rsidP="00260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sz w:val="24"/>
          <w:szCs w:val="24"/>
          <w:lang w:eastAsia="en-AU"/>
        </w:rPr>
      </w:pPr>
    </w:p>
    <w:sectPr w:rsidR="00260BD0" w:rsidRPr="00260BD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B7A99" w14:textId="77777777" w:rsidR="00A56C0C" w:rsidRDefault="00A56C0C" w:rsidP="001113E6">
      <w:pPr>
        <w:spacing w:after="0" w:line="240" w:lineRule="auto"/>
      </w:pPr>
      <w:r>
        <w:separator/>
      </w:r>
    </w:p>
  </w:endnote>
  <w:endnote w:type="continuationSeparator" w:id="0">
    <w:p w14:paraId="777AAA14" w14:textId="77777777" w:rsidR="00A56C0C" w:rsidRDefault="00A56C0C" w:rsidP="00111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503D6" w14:textId="76360AF3" w:rsidR="00D747CF" w:rsidRDefault="00D747CF">
    <w:pPr>
      <w:pStyle w:val="Footer"/>
      <w:rPr>
        <w:sz w:val="16"/>
        <w:szCs w:val="16"/>
      </w:rPr>
    </w:pPr>
    <w:r w:rsidRPr="006D1F0E">
      <w:rPr>
        <w:sz w:val="16"/>
        <w:szCs w:val="16"/>
      </w:rPr>
      <w:t xml:space="preserve">Forest Hill Community Preschool acknowledges </w:t>
    </w:r>
    <w:r w:rsidR="006D1F0E" w:rsidRPr="006D1F0E">
      <w:rPr>
        <w:sz w:val="16"/>
        <w:szCs w:val="16"/>
      </w:rPr>
      <w:t xml:space="preserve">CELA for the use of their sample policies when revising and developing our policies. Policies will be reviewed </w:t>
    </w:r>
    <w:r w:rsidR="006D1F0E">
      <w:rPr>
        <w:sz w:val="16"/>
        <w:szCs w:val="16"/>
      </w:rPr>
      <w:t xml:space="preserve">regularly or </w:t>
    </w:r>
    <w:r w:rsidR="006D1F0E" w:rsidRPr="006D1F0E">
      <w:rPr>
        <w:sz w:val="16"/>
        <w:szCs w:val="16"/>
      </w:rPr>
      <w:t>as regulations/legislation or circumstances change or arise</w:t>
    </w:r>
    <w:r w:rsidR="006D1F0E">
      <w:rPr>
        <w:sz w:val="16"/>
        <w:szCs w:val="16"/>
      </w:rPr>
      <w:t xml:space="preserve"> and kept in line with the industry or the Preschool and with current research and contemporary views on best practice. See Index for dates. </w:t>
    </w:r>
  </w:p>
  <w:p w14:paraId="124EFCF9" w14:textId="77777777" w:rsidR="001E693F" w:rsidRPr="006D1F0E" w:rsidRDefault="001E693F">
    <w:pPr>
      <w:pStyle w:val="Footer"/>
      <w:rPr>
        <w:sz w:val="16"/>
        <w:szCs w:val="16"/>
      </w:rPr>
    </w:pPr>
  </w:p>
  <w:p w14:paraId="56588CDD" w14:textId="77777777" w:rsidR="001113E6" w:rsidRPr="006D1F0E" w:rsidRDefault="001113E6">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3DD1F" w14:textId="77777777" w:rsidR="00A56C0C" w:rsidRDefault="00A56C0C" w:rsidP="001113E6">
      <w:pPr>
        <w:spacing w:after="0" w:line="240" w:lineRule="auto"/>
      </w:pPr>
      <w:r>
        <w:separator/>
      </w:r>
    </w:p>
  </w:footnote>
  <w:footnote w:type="continuationSeparator" w:id="0">
    <w:p w14:paraId="15035AFB" w14:textId="77777777" w:rsidR="00A56C0C" w:rsidRDefault="00A56C0C" w:rsidP="00111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45A95" w14:textId="5C2AF10E" w:rsidR="001113E6" w:rsidRDefault="001113E6">
    <w:pPr>
      <w:pStyle w:val="Header"/>
    </w:pPr>
    <w:r>
      <w:rPr>
        <w:noProof/>
        <w:lang w:eastAsia="en-AU"/>
      </w:rPr>
      <mc:AlternateContent>
        <mc:Choice Requires="wps">
          <w:drawing>
            <wp:anchor distT="0" distB="0" distL="118745" distR="118745" simplePos="0" relativeHeight="251659264" behindDoc="1" locked="0" layoutInCell="1" allowOverlap="0" wp14:anchorId="6B88AF15" wp14:editId="06A6D0A2">
              <wp:simplePos x="0" y="0"/>
              <wp:positionH relativeFrom="margin">
                <wp:posOffset>883920</wp:posOffset>
              </wp:positionH>
              <wp:positionV relativeFrom="page">
                <wp:posOffset>144780</wp:posOffset>
              </wp:positionV>
              <wp:extent cx="4351020" cy="61023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4351020" cy="61023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B88AF15" id="Rectangle 197" o:spid="_x0000_s1026" style="position:absolute;margin-left:69.6pt;margin-top:11.4pt;width:342.6pt;height:48.0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" o:allowoverlap="f" fillcolor="#4472c4 [3204]" stroked="f" strokeweight="1pt">
              <v:textbo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015639F" w14:textId="092005AC" w:rsidR="001113E6" w:rsidRDefault="00262C1B">
                        <w:pPr>
                          <w:pStyle w:val="Header"/>
                          <w:jc w:val="center"/>
                          <w:rPr>
                            <w:caps/>
                            <w:color w:val="FFFFFF" w:themeColor="background1"/>
                          </w:rPr>
                        </w:pPr>
                        <w:r>
                          <w:rPr>
                            <w:caps/>
                            <w:color w:val="FFFFFF" w:themeColor="background1"/>
                          </w:rPr>
                          <w:t>FOREST HILL COMMUNITY PRESCHOOL Inc. POLICIES &amp; PROCEDURES.</w:t>
                        </w:r>
                      </w:p>
                    </w:sdtContent>
                  </w:sdt>
                </w:txbxContent>
              </v:textbox>
              <w10:wrap type="square" anchorx="margin" anchory="page"/>
            </v:rect>
          </w:pict>
        </mc:Fallback>
      </mc:AlternateContent>
    </w:r>
    <w:r>
      <w:rPr>
        <w:noProof/>
        <w:lang w:eastAsia="en-AU"/>
      </w:rPr>
      <w:drawing>
        <wp:inline distT="0" distB="0" distL="0" distR="0" wp14:anchorId="0EA3A280" wp14:editId="49D6E892">
          <wp:extent cx="556130" cy="36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643708" cy="422624"/>
                  </a:xfrm>
                  <a:prstGeom prst="rect">
                    <a:avLst/>
                  </a:prstGeom>
                </pic:spPr>
              </pic:pic>
            </a:graphicData>
          </a:graphic>
        </wp:inline>
      </w:drawing>
    </w:r>
    <w:r>
      <w:t xml:space="preserve">                                       </w:t>
    </w:r>
    <w:r>
      <w:rPr>
        <w:noProof/>
        <w:lang w:eastAsia="en-AU"/>
      </w:rPr>
      <w:drawing>
        <wp:inline distT="0" distB="0" distL="0" distR="0" wp14:anchorId="25C1A396" wp14:editId="62150376">
          <wp:extent cx="365403" cy="404495"/>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2">
                    <a:extLst>
                      <a:ext uri="{28A0092B-C50C-407E-A947-70E740481C1C}">
                        <a14:useLocalDpi xmlns:a14="http://schemas.microsoft.com/office/drawing/2010/main" val="0"/>
                      </a:ext>
                    </a:extLst>
                  </a:blip>
                  <a:stretch>
                    <a:fillRect/>
                  </a:stretch>
                </pic:blipFill>
                <pic:spPr>
                  <a:xfrm>
                    <a:off x="0" y="0"/>
                    <a:ext cx="374334" cy="41438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3923"/>
    <w:multiLevelType w:val="hybridMultilevel"/>
    <w:tmpl w:val="5FD2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A5AAB"/>
    <w:multiLevelType w:val="hybridMultilevel"/>
    <w:tmpl w:val="EC10DBA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541626"/>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20062C"/>
    <w:multiLevelType w:val="hybridMultilevel"/>
    <w:tmpl w:val="044E7FC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85A44"/>
    <w:multiLevelType w:val="hybridMultilevel"/>
    <w:tmpl w:val="433CBFF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0B057C"/>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6F40883"/>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8DE7D7A"/>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390468"/>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853085A"/>
    <w:multiLevelType w:val="hybridMultilevel"/>
    <w:tmpl w:val="3B7A2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672030"/>
    <w:multiLevelType w:val="hybridMultilevel"/>
    <w:tmpl w:val="A5DA3EE6"/>
    <w:lvl w:ilvl="0" w:tplc="0C09000B">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647424"/>
    <w:multiLevelType w:val="hybridMultilevel"/>
    <w:tmpl w:val="CAE6738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E70463"/>
    <w:multiLevelType w:val="hybridMultilevel"/>
    <w:tmpl w:val="FC5C009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AA5A25"/>
    <w:multiLevelType w:val="hybridMultilevel"/>
    <w:tmpl w:val="FB12A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F400BD"/>
    <w:multiLevelType w:val="hybridMultilevel"/>
    <w:tmpl w:val="5C3CD9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6F1209"/>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6DCB6641"/>
    <w:multiLevelType w:val="multilevel"/>
    <w:tmpl w:val="D8B649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49078C6"/>
    <w:multiLevelType w:val="hybridMultilevel"/>
    <w:tmpl w:val="728E2C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4B65CC"/>
    <w:multiLevelType w:val="hybridMultilevel"/>
    <w:tmpl w:val="197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AD6255"/>
    <w:multiLevelType w:val="hybridMultilevel"/>
    <w:tmpl w:val="536016B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6"/>
  </w:num>
  <w:num w:numId="5">
    <w:abstractNumId w:val="16"/>
  </w:num>
  <w:num w:numId="6">
    <w:abstractNumId w:val="2"/>
  </w:num>
  <w:num w:numId="7">
    <w:abstractNumId w:val="8"/>
  </w:num>
  <w:num w:numId="8">
    <w:abstractNumId w:val="7"/>
  </w:num>
  <w:num w:numId="9">
    <w:abstractNumId w:val="13"/>
  </w:num>
  <w:num w:numId="10">
    <w:abstractNumId w:val="18"/>
  </w:num>
  <w:num w:numId="11">
    <w:abstractNumId w:val="9"/>
  </w:num>
  <w:num w:numId="12">
    <w:abstractNumId w:val="19"/>
  </w:num>
  <w:num w:numId="13">
    <w:abstractNumId w:val="10"/>
  </w:num>
  <w:num w:numId="14">
    <w:abstractNumId w:val="17"/>
  </w:num>
  <w:num w:numId="15">
    <w:abstractNumId w:val="12"/>
  </w:num>
  <w:num w:numId="16">
    <w:abstractNumId w:val="14"/>
  </w:num>
  <w:num w:numId="17">
    <w:abstractNumId w:val="11"/>
  </w:num>
  <w:num w:numId="18">
    <w:abstractNumId w:val="4"/>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E6"/>
    <w:rsid w:val="00055DF5"/>
    <w:rsid w:val="000578ED"/>
    <w:rsid w:val="001113E6"/>
    <w:rsid w:val="00113F4D"/>
    <w:rsid w:val="00115403"/>
    <w:rsid w:val="00141860"/>
    <w:rsid w:val="001B1FAA"/>
    <w:rsid w:val="001D6EF2"/>
    <w:rsid w:val="001E693F"/>
    <w:rsid w:val="00260BD0"/>
    <w:rsid w:val="00262C1B"/>
    <w:rsid w:val="002805E6"/>
    <w:rsid w:val="002D0B62"/>
    <w:rsid w:val="002D6692"/>
    <w:rsid w:val="002E77BB"/>
    <w:rsid w:val="003222F7"/>
    <w:rsid w:val="003A647B"/>
    <w:rsid w:val="004300F2"/>
    <w:rsid w:val="00470F6D"/>
    <w:rsid w:val="004A01F3"/>
    <w:rsid w:val="004A409D"/>
    <w:rsid w:val="004B2A5C"/>
    <w:rsid w:val="004D5B02"/>
    <w:rsid w:val="004F1750"/>
    <w:rsid w:val="00553C21"/>
    <w:rsid w:val="005A137D"/>
    <w:rsid w:val="00607CFC"/>
    <w:rsid w:val="00643FC6"/>
    <w:rsid w:val="00662EE3"/>
    <w:rsid w:val="00665602"/>
    <w:rsid w:val="006D1F0E"/>
    <w:rsid w:val="007653B5"/>
    <w:rsid w:val="007B3630"/>
    <w:rsid w:val="007D15BD"/>
    <w:rsid w:val="00851F53"/>
    <w:rsid w:val="008C6803"/>
    <w:rsid w:val="008D289A"/>
    <w:rsid w:val="008D2ECE"/>
    <w:rsid w:val="008D410D"/>
    <w:rsid w:val="008E5B00"/>
    <w:rsid w:val="009032E6"/>
    <w:rsid w:val="00983322"/>
    <w:rsid w:val="009C1DE4"/>
    <w:rsid w:val="00A47797"/>
    <w:rsid w:val="00A56C0C"/>
    <w:rsid w:val="00A86951"/>
    <w:rsid w:val="00AB684D"/>
    <w:rsid w:val="00BF2707"/>
    <w:rsid w:val="00C3035D"/>
    <w:rsid w:val="00C67D48"/>
    <w:rsid w:val="00CC204D"/>
    <w:rsid w:val="00D20820"/>
    <w:rsid w:val="00D52AF2"/>
    <w:rsid w:val="00D709C9"/>
    <w:rsid w:val="00D747CF"/>
    <w:rsid w:val="00E40EC5"/>
    <w:rsid w:val="00E45B2F"/>
    <w:rsid w:val="00E90F5D"/>
    <w:rsid w:val="00E94CA6"/>
    <w:rsid w:val="00F94E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11CC89"/>
  <w15:chartTrackingRefBased/>
  <w15:docId w15:val="{AB0A2A0F-DBB0-4029-A6B1-C93ADD05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69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3E6"/>
  </w:style>
  <w:style w:type="paragraph" w:styleId="Footer">
    <w:name w:val="footer"/>
    <w:basedOn w:val="Normal"/>
    <w:link w:val="FooterChar"/>
    <w:uiPriority w:val="99"/>
    <w:unhideWhenUsed/>
    <w:rsid w:val="00111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3E6"/>
  </w:style>
  <w:style w:type="character" w:customStyle="1" w:styleId="Heading1Char">
    <w:name w:val="Heading 1 Char"/>
    <w:basedOn w:val="DefaultParagraphFont"/>
    <w:link w:val="Heading1"/>
    <w:uiPriority w:val="9"/>
    <w:rsid w:val="001E693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653B5"/>
    <w:pPr>
      <w:ind w:left="720"/>
      <w:contextualSpacing/>
    </w:pPr>
  </w:style>
  <w:style w:type="character" w:styleId="Hyperlink">
    <w:name w:val="Hyperlink"/>
    <w:basedOn w:val="DefaultParagraphFont"/>
    <w:uiPriority w:val="99"/>
    <w:unhideWhenUsed/>
    <w:rsid w:val="00662EE3"/>
    <w:rPr>
      <w:color w:val="0563C1" w:themeColor="hyperlink"/>
      <w:u w:val="single"/>
    </w:rPr>
  </w:style>
  <w:style w:type="character" w:customStyle="1" w:styleId="UnresolvedMention">
    <w:name w:val="Unresolved Mention"/>
    <w:basedOn w:val="DefaultParagraphFont"/>
    <w:uiPriority w:val="99"/>
    <w:semiHidden/>
    <w:unhideWhenUsed/>
    <w:rsid w:val="00662EE3"/>
    <w:rPr>
      <w:color w:val="605E5C"/>
      <w:shd w:val="clear" w:color="auto" w:fill="E1DFDD"/>
    </w:rPr>
  </w:style>
  <w:style w:type="paragraph" w:styleId="BalloonText">
    <w:name w:val="Balloon Text"/>
    <w:basedOn w:val="Normal"/>
    <w:link w:val="BalloonTextChar"/>
    <w:uiPriority w:val="99"/>
    <w:semiHidden/>
    <w:unhideWhenUsed/>
    <w:rsid w:val="00055D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F5"/>
    <w:rPr>
      <w:rFonts w:ascii="Segoe UI" w:hAnsi="Segoe UI" w:cs="Segoe UI"/>
      <w:sz w:val="18"/>
      <w:szCs w:val="18"/>
    </w:rPr>
  </w:style>
  <w:style w:type="paragraph" w:styleId="HTMLPreformatted">
    <w:name w:val="HTML Preformatted"/>
    <w:basedOn w:val="Normal"/>
    <w:link w:val="HTMLPreformattedChar"/>
    <w:uiPriority w:val="99"/>
    <w:semiHidden/>
    <w:unhideWhenUsed/>
    <w:rsid w:val="001D6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D6EF2"/>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68732">
      <w:bodyDiv w:val="1"/>
      <w:marLeft w:val="0"/>
      <w:marRight w:val="0"/>
      <w:marTop w:val="0"/>
      <w:marBottom w:val="0"/>
      <w:divBdr>
        <w:top w:val="none" w:sz="0" w:space="0" w:color="auto"/>
        <w:left w:val="none" w:sz="0" w:space="0" w:color="auto"/>
        <w:bottom w:val="none" w:sz="0" w:space="0" w:color="auto"/>
        <w:right w:val="none" w:sz="0" w:space="0" w:color="auto"/>
      </w:divBdr>
    </w:div>
    <w:div w:id="1193881022">
      <w:bodyDiv w:val="1"/>
      <w:marLeft w:val="0"/>
      <w:marRight w:val="0"/>
      <w:marTop w:val="0"/>
      <w:marBottom w:val="0"/>
      <w:divBdr>
        <w:top w:val="none" w:sz="0" w:space="0" w:color="auto"/>
        <w:left w:val="none" w:sz="0" w:space="0" w:color="auto"/>
        <w:bottom w:val="none" w:sz="0" w:space="0" w:color="auto"/>
        <w:right w:val="none" w:sz="0" w:space="0" w:color="auto"/>
      </w:divBdr>
    </w:div>
    <w:div w:id="1209999806">
      <w:bodyDiv w:val="1"/>
      <w:marLeft w:val="0"/>
      <w:marRight w:val="0"/>
      <w:marTop w:val="0"/>
      <w:marBottom w:val="0"/>
      <w:divBdr>
        <w:top w:val="none" w:sz="0" w:space="0" w:color="auto"/>
        <w:left w:val="none" w:sz="0" w:space="0" w:color="auto"/>
        <w:bottom w:val="none" w:sz="0" w:space="0" w:color="auto"/>
        <w:right w:val="none" w:sz="0" w:space="0" w:color="auto"/>
      </w:divBdr>
    </w:div>
    <w:div w:id="179636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rlychildhoodaustralia.org.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care.gov.au" TargetMode="External"/><Relationship Id="rId4" Type="http://schemas.openxmlformats.org/officeDocument/2006/relationships/webSettings" Target="webSettings.xml"/><Relationship Id="rId9" Type="http://schemas.openxmlformats.org/officeDocument/2006/relationships/hyperlink" Target="http://www.comcare.gov.au/for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FOREST HILL COMMUNITY PRESCHOOL Inc. POLICIES &amp; PROCEDURES.</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COMMUNITY PRESCHOOL Inc. POLICIES &amp; PROCEDURES.</dc:title>
  <dc:subject/>
  <dc:creator>Forest Hill Preschool</dc:creator>
  <cp:keywords/>
  <dc:description/>
  <cp:lastModifiedBy>Guest</cp:lastModifiedBy>
  <cp:revision>9</cp:revision>
  <cp:lastPrinted>2019-05-20T00:30:00Z</cp:lastPrinted>
  <dcterms:created xsi:type="dcterms:W3CDTF">2020-05-06T23:41:00Z</dcterms:created>
  <dcterms:modified xsi:type="dcterms:W3CDTF">2020-05-07T00:35:00Z</dcterms:modified>
</cp:coreProperties>
</file>